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b/>
          <w:color w:val="000000"/>
          <w:sz w:val="24"/>
          <w:szCs w:val="24"/>
        </w:rPr>
        <w:t>МУНИЦИПАЛЬНОЕ КАЗЕННОЕ ОБЩЕОБРАЗОВАТЕЛЬНОЕ УЧРЕЖДЕНИЕ «ИНСКАЯ СРЕДНЯЯ ОБЩЕОБРАЗОВАТЕЛЬНАЯ ШКОЛА ШЕЛАБОЛИХИНСКОГО РАЙОНА АЛТАЙСКОГО КРАЯ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tbl>
      <w:tblPr>
        <w:jc w:val="left"/>
        <w:tblInd w:type="dxa" w:w="-216"/>
        <w:tblBorders/>
      </w:tblPr>
      <w:tblGrid>
        <w:gridCol w:w="4969"/>
        <w:gridCol w:w="4884"/>
      </w:tblGrid>
      <w:tr>
        <w:trPr>
          <w:cantSplit w:val="false"/>
        </w:trPr>
        <w:tc>
          <w:tcPr>
            <w:tcW w:type="dxa" w:w="49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color w:val="000000"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color w:val="000000"/>
          <w:sz w:val="24"/>
          <w:szCs w:val="24"/>
        </w:rPr>
        <w:t>______</w:t>
      </w:r>
      <w:r>
        <w:rPr>
          <w:rFonts w:ascii="Liberation Serif" w:hAnsi="Liberation Serif"/>
          <w:b/>
          <w:bCs/>
          <w:color w:val="000000"/>
          <w:sz w:val="24"/>
          <w:szCs w:val="24"/>
          <w:u w:val="single"/>
        </w:rPr>
        <w:t>Мурзинцевой Оксаны Анатольевны</w:t>
      </w:r>
      <w:r>
        <w:rPr>
          <w:rFonts w:ascii="Liberation Serif" w:hAnsi="Liberation Serif"/>
          <w:color w:val="000000"/>
          <w:sz w:val="24"/>
          <w:szCs w:val="24"/>
        </w:rPr>
        <w:t xml:space="preserve">, </w:t>
      </w:r>
      <w:r>
        <w:rPr>
          <w:rFonts w:ascii="Liberation Serif" w:hAnsi="Liberation Serif"/>
          <w:color w:val="000000"/>
          <w:sz w:val="24"/>
          <w:szCs w:val="24"/>
          <w:u w:val="single"/>
        </w:rPr>
        <w:t>вторая _категория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color w:val="000000"/>
          <w:sz w:val="24"/>
          <w:szCs w:val="24"/>
        </w:rPr>
        <w:t>Ф.И.О., 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color w:val="000000"/>
          <w:sz w:val="24"/>
          <w:szCs w:val="24"/>
        </w:rPr>
        <w:t>по _курсу  индивидуально-групповые занятия «Учимся решать задачи»  4 класс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color w:val="000000"/>
          <w:sz w:val="24"/>
          <w:szCs w:val="24"/>
        </w:rPr>
        <w:t>предмет, класс и т.п.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color w:val="000000"/>
          <w:sz w:val="24"/>
          <w:szCs w:val="24"/>
        </w:rPr>
        <w:t>2014 – 2015 учебный год.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>1.Пояснительная записка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Рабочая программа курса «Учимся решать задачи» разработана с учётом основных направлений модернизации общего образования, требований ФГОС начального образования, и ориентирована на формирование базовых универсальных компетентностей, обеспечивающих готовность обучающихся использовать свои знания и умения для самообразования и решения практических жизненных задач. В этом заключается её актуальность.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 xml:space="preserve">             </w:t>
      </w: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>Цель данного курса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 – вовлечение учащихся в процесс приобретения ими математических знаний, умений и математической культуры.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Программа дает возможность в соответствии с учебным планом увеличить время на изучение отдельных тем курса, позволяет уточнить способность и готовность учеников к дальнейшему повышению своего уровня развития и решает следующие </w:t>
      </w: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>задачи: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 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разнообразить процесс обучения;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сформировать устойчивые знания по предмету;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воспитывать общую математическую культуру;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развивать математическое (логическое) мышление;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расширять математический кругозор; 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формировать умение решать комбинаторные и логические задачи;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повышать интерес к предмету и его изучению;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выработать самостоятельный и творческий подходы к изучению математики.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>2.Общая характеристика учебного курса.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Новые образовательные стандарты поставили перед школой задачу общекультурного, личностного и познавательного развития учащихся, обеспечивающего такую ключевую компетенцию, как умение учиться. Решение поставленной задачи предполагается осуществить через формирование универсальных учебных действий (УУД), обеспечивающих способность учащихся к саморазвитию и самосовершенствованию.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Плодотворным материалом для развития УУД в курсе математики начальных классов являются текстовые задачи. Традиционно к ним относят задачи, которые требуют выбора арифметических действий и выполнения вычислений для ответа на поставленный вопрос. Однако новая парадигма начального образования, направленная на социальное, познавательное, коммуникативное и информационное развитие младших школьников, не только требует овладения общим умением решать арифметические задачи, но и значительно расширяет содержание самого понятия  текстовая задача. Анализ современных учебников по математике для начальных классов позволяет констатировать, что наряду с арифметическими (текстовыми) задачами в них включены логические, комбинаторные, геометрические, ситуационные задачи, требующие от ученика умения интегрировать знания не только из разных разделов начального курса математики, но и из разных учебных предметов.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При анализе ситуаций, описанных в задачах, младшие школьники овладевают умением искать и выделять необходимую информацию, приобретают опыт смыслового чтения и анализа объектов с целью выделения существенных и несущественных признаков. На этапе поиска решения задачи развиваются такие УУД, как установление причинно-следственных связей, построение логической цепочки рассуждений, выбор наиболее эффективных способов решения задачи в зависимости от конкретных условий, постановка и формулирование проблемы, самостоятельное создание алгоритмов деятельности. Последнее особенно актуально, так как во многих задачах разработка способа действия, плана или алгоритма решения является основной целью. Этот аспект важен и для включения информационного направления в начальный курс математики. Именно через решение задач можно естественным образом формировать элементы информационной культуры: познакомить учащихся со способами обработки информации и наглядными формами ее представления в виде таблиц, графов, схем, блок-схем и других моделей.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       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Образовательная программа предназначена для учащихся 4 класса. Главное направление - раскрытие и развитие особенностей познавательных способностей учащихся, ощущения, восприятия, памяти, представления, воображения, мышления, внимания, предполагает личностную ориентацию, деятельностный и развивающий характер содержания обучения, способствует развитию стремления и способности к самостоятельному приобретению новых знаний.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>3.Место курса «Учимся решать задачи» в учебном плане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  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Согласно базисному учебному плану общеобразовательного учреждения в 4-м классе на изучение курса «Учимся решать задачи» выделяется 34 часа (1 час в неделю).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8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color w:val="000000"/>
          <w:sz w:val="24"/>
          <w:szCs w:val="24"/>
        </w:rPr>
        <w:t>4.ЦЕННОСТНЫЕ ОРИЕНТИРЫ КУРСА</w:t>
      </w:r>
    </w:p>
    <w:p>
      <w:pPr>
        <w:pStyle w:val="style18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 xml:space="preserve">         </w:t>
      </w:r>
      <w:r>
        <w:rPr>
          <w:rFonts w:ascii="Liberation Serif" w:hAnsi="Liberation Serif"/>
          <w:color w:val="000000"/>
          <w:sz w:val="24"/>
          <w:szCs w:val="24"/>
        </w:rPr>
        <w:t>Решение текстовых задач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курсу «Учимся решать задачи»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>
      <w:pPr>
        <w:pStyle w:val="style18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 xml:space="preserve">          </w:t>
      </w:r>
      <w:r>
        <w:rPr>
          <w:rFonts w:ascii="Liberation Serif" w:hAnsi="Liberation Serif"/>
          <w:color w:val="000000"/>
          <w:sz w:val="24"/>
          <w:szCs w:val="24"/>
        </w:rPr>
        <w:t>Умение решать задачи – это особый способ коммуникации: наличие знакового (символьного) языка для описания и анализа действительности; участие математического языка как своего рода «переводчика» в системе научных коммуникаций, в том числе между разными системами знаний; 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>
      <w:pPr>
        <w:pStyle w:val="style18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 xml:space="preserve">           </w:t>
      </w:r>
      <w:r>
        <w:rPr>
          <w:rFonts w:ascii="Liberation Serif" w:hAnsi="Liberation Serif"/>
          <w:color w:val="000000"/>
          <w:sz w:val="24"/>
          <w:szCs w:val="24"/>
        </w:rPr>
        <w:t>Таким образом, в процессе обучения решению задач осуществляется приобщение подрастающего поколения к уникальной сфере интеллектуальной культуры. Овладение различными видами учебной деятельности в процессе обучения решению задач является основой изучения других учебных предметов, обеспечивая тем самым познание различных сторон окружающего мира.</w:t>
      </w:r>
    </w:p>
    <w:p>
      <w:pPr>
        <w:pStyle w:val="style18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 xml:space="preserve">             </w:t>
      </w:r>
      <w:r>
        <w:rPr>
          <w:rFonts w:ascii="Liberation Serif" w:hAnsi="Liberation Serif"/>
          <w:color w:val="000000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>
      <w:pPr>
        <w:pStyle w:val="style1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>5.Результаты изучения учебного предмета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           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В процессе изучения курса, учащиеся получат возможность развить свои способности, овладеть основными приемами и методами решения задач; научиться наблюдать, экспериментировать, измерять, моделировать. В результате учебной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Личностные результаты изучения курса «Учимся решать задачи»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 ученика будут сформированы: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школе;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учебно-познавательный интерес к новому материалу и способам решения новой учебной задачи; 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готовность целенаправленно использовать  математические знания, умения и навыки  в учебной деятельности и в повседневной жизни;  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способность осознавать и оценивать свои мысли, действия и выражать их в речи, соотносить результат действия с поставленной целью;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способность к организации самостоятельной учебной деятельности.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 ученика могут быть сформированы: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устойчивого познавательного интереса к новым общим способам решения задач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адекватного понимания причин успешности или неуспешности учебной деятельности.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Метапредметные результаты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Ученик научится: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- 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- планировать свое действие в соответствии с поставленной задачей и условиями ее реализации, в том числе во внутреннем плане;  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- различать способ и результат действия; контролировать процесс и результаты деятельности;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- вносить необходимые коррективы в действие после его завершения, на основе  его оценки  и учета характера сделанных ошибок;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 выполнять учебные действия  в материализованной, громкоречевой и умственной форме;  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- адекватно оценивать свои достижения, осознавать возникающие трудности и искать способы их преодоления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Ученик получит возможность научиться: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•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•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•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•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 xml:space="preserve">• 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  исполнение как по ходу его реализации, так и в конце действия.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Ученик научится: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использовать знаково-символические средства, в том числе модели и схемы для решения задач;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осуществлять синтез как составление целого из частей;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устанавливать аналогии;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Ученик  получит возможность научиться: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осуществлять сравнение  и классификацию, самостоятельно выбирая основания и критерии для указанных логических операций;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строить логическое рассуждение, включающее установление причинно-следственных связей.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Ученик  научится: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выражать в речи свои мысли и действия;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строить понятные для партнера высказывания, учитывающие, что партнер видит и знает, а что нет;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задавать вопросы;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использовать речь для регуляции своего действия.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Ученик  получит возможность научиться: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адекватно использовать речь для планирования и регуляции своего действия;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аргументировать свою позицию и координировать её с позициями партнеров в совместной деятельности;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- осуществлять взаимный контроль и оказывать в сотрудничестве необходимую помощь.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Компоненты и критерии оценки общего приема решения задач.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color w:val="000000"/>
          <w:sz w:val="24"/>
          <w:szCs w:val="24"/>
        </w:rPr>
        <w:t>6-7. Тематическое планирование и содержание курса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300"/>
        <w:gridCol w:w="2205"/>
        <w:gridCol w:w="2442"/>
        <w:gridCol w:w="2690"/>
      </w:tblGrid>
      <w:tr>
        <w:trPr>
          <w:cantSplit w:val="false"/>
        </w:trPr>
        <w:tc>
          <w:tcPr>
            <w:tcW w:type="dxa" w:w="2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type="dxa" w:w="22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type="dxa" w:w="2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708" w:val="left"/>
                <w:tab w:leader="none" w:pos="223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tabs>
                <w:tab w:leader="none" w:pos="708" w:val="left"/>
                <w:tab w:leader="none" w:pos="223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>Возможное</w:t>
            </w:r>
          </w:p>
          <w:p>
            <w:pPr>
              <w:pStyle w:val="style0"/>
              <w:tabs>
                <w:tab w:leader="none" w:pos="708" w:val="left"/>
                <w:tab w:leader="none" w:pos="223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>расширение</w:t>
            </w:r>
          </w:p>
        </w:tc>
      </w:tr>
      <w:tr>
        <w:trPr>
          <w:cantSplit w:val="false"/>
        </w:trPr>
        <w:tc>
          <w:tcPr>
            <w:tcW w:type="dxa" w:w="2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Текстовые задачи, при решении которых используются: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а) смысл действий сложения и вычитания, умножения и деления;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б) понятия: «увеличить на ...», «уменьшить на ...»;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в) разностное сравнение и кратное сравнение;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г) прямая и обратная пропорциональность;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д) нахождение периметра и площади прямоугольника и квадрата.</w:t>
            </w:r>
          </w:p>
        </w:tc>
        <w:tc>
          <w:tcPr>
            <w:tcW w:type="dxa" w:w="22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  <w:u w:val="single"/>
              </w:rPr>
              <w:t>Сравнивать</w:t>
            </w: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 xml:space="preserve"> тексты заданий.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  <w:u w:val="single"/>
              </w:rPr>
              <w:t>Выделять</w:t>
            </w: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 xml:space="preserve"> в задаче условие и вопрос.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  <w:u w:val="single"/>
              </w:rPr>
              <w:t>Определять</w:t>
            </w: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, является ли текст задачей.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  <w:u w:val="single"/>
              </w:rPr>
              <w:t>Составлять</w:t>
            </w: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 xml:space="preserve"> схему решения задачи.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  <w:u w:val="single"/>
              </w:rPr>
              <w:t>Записывать</w:t>
            </w: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 xml:space="preserve"> краткое условие задачи наиболее удобным способом.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  <w:u w:val="single"/>
              </w:rPr>
              <w:t>Определять</w:t>
            </w: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 xml:space="preserve"> действие, являющееся решением задачи.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  <w:u w:val="single"/>
              </w:rPr>
              <w:t>Переформулировать</w:t>
            </w: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 xml:space="preserve"> вопрос задачи.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4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 Решать учебные задачи и задачи, связанные с повседневной жизнью, арифметическим способом (в 2-3 действия).</w:t>
            </w:r>
          </w:p>
          <w:p>
            <w:pPr>
              <w:pStyle w:val="style0"/>
              <w:shd w:fill="FFFFFF" w:val="clear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23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i/>
                <w:color w:val="000000"/>
                <w:sz w:val="24"/>
                <w:szCs w:val="24"/>
              </w:rPr>
              <w:t>Решать задачи в 3-4 действия; находить разные способы решения задач; решать логические и комбинаторные задачи, используя рисунки.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lang w:eastAsia="ru-RU"/>
        </w:rPr>
        <w:t>8.Материально – техническое обеспечение.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Печатная продукция.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Асмолов А.Г. Как проектировать УУД в начальной школе. От действия к мысли. – «Просвещение», 2008 г.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Истомина Н.Б. «Учимся решать комбинаторные задачи», рабочая тетрадь для учащихся 3 класса – Смоленск: Ассоциация XXI – 2012.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Истомина Н.Б. «Учимся решать логические задачи», рабочая тетрадь для учащихся 3 класса – Смоленск: Ассоциация XXI – 2012.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Истомина Н.Б. Методические рекомендации к рабочей тетради «Учимся решать логические задачи» для 3 класса.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color w:val="000000"/>
          <w:sz w:val="24"/>
          <w:szCs w:val="24"/>
          <w:lang w:eastAsia="ru-RU"/>
        </w:rPr>
        <w:t>Умные уроки SMART. Сборник методических рекомендаций по работе со СМАРТ-устройствами и программами.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Т.Н.Максимова «Сборник текстовых задач по математике, 4 класс» , Москва «ВАКО», 2011г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color w:val="000000"/>
          <w:sz w:val="24"/>
          <w:szCs w:val="24"/>
        </w:rPr>
        <w:t>Техническое обеспечение.</w:t>
      </w:r>
    </w:p>
    <w:p>
      <w:pPr>
        <w:pStyle w:val="style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>Ноутбук.</w:t>
      </w:r>
    </w:p>
    <w:p>
      <w:pPr>
        <w:pStyle w:val="style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>Экран.</w:t>
      </w:r>
    </w:p>
    <w:p>
      <w:pPr>
        <w:pStyle w:val="style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>Мультимедиапроектор.</w:t>
      </w:r>
    </w:p>
    <w:p>
      <w:pPr>
        <w:pStyle w:val="style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>Колонки 2шт.</w:t>
      </w:r>
    </w:p>
    <w:p>
      <w:pPr>
        <w:pStyle w:val="style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>Принтер – ксерокс – сканер. (3 в одном)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color w:val="000000"/>
          <w:sz w:val="24"/>
          <w:szCs w:val="24"/>
        </w:rPr>
        <w:t>Учебная мебель.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1.Ученические столы двухместные с комплектом стульев – 5 шт.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2.Стол учительский с тумбой – 1шт.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>3.Шкафы для хранения учебников, дидактических материалов, пособий и пр.  – 2 шт.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tabs>
          <w:tab w:leader="none" w:pos="708" w:val="left"/>
          <w:tab w:leader="none" w:pos="6255" w:val="left"/>
        </w:tabs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color w:val="000000"/>
          <w:sz w:val="24"/>
          <w:szCs w:val="24"/>
        </w:rPr>
        <w:t>Календарно-тематическое планирование</w:t>
      </w:r>
    </w:p>
    <w:p>
      <w:pPr>
        <w:pStyle w:val="style0"/>
        <w:tabs>
          <w:tab w:leader="none" w:pos="708" w:val="left"/>
          <w:tab w:leader="none" w:pos="6255" w:val="left"/>
        </w:tabs>
        <w:spacing w:after="0" w:before="0" w:line="100" w:lineRule="atLeast"/>
        <w:ind w:hanging="0" w:left="0" w:right="0"/>
        <w:jc w:val="center"/>
      </w:pPr>
      <w:r>
        <w:rPr/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59"/>
        <w:gridCol w:w="2431"/>
        <w:gridCol w:w="5477"/>
      </w:tblGrid>
      <w:tr>
        <w:trPr>
          <w:trHeight w:hRule="atLeast" w:val="675"/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 xml:space="preserve">№ </w:t>
            </w:r>
          </w:p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type="dxa" w:w="54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cs="Times New Roman" w:hAnsi="Liberation Serif"/>
                <w:b/>
                <w:color w:val="000000"/>
                <w:sz w:val="24"/>
                <w:szCs w:val="24"/>
              </w:rPr>
              <w:t>Общая характеристика деятельности учащихся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1 - 4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Задачи на нахождение неизвестного по двум разностям</w:t>
            </w:r>
          </w:p>
        </w:tc>
        <w:tc>
          <w:tcPr>
            <w:tcW w:type="dxa" w:w="547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Сравнивать тексты задач.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Выделять в задаче условие и вопрос.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Определять, является ли текст задачей.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Составлять схему решения задачи.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Записывать краткое условие задачи наиболее удобным способом.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Определять действие, являющееся решением задачи.</w:t>
            </w:r>
          </w:p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Переформулировать вопрос задачи.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 Решать учебные задачи и задачи, связанные с повседневной жизнью, арифметическим способом (в 2-3 действия).</w:t>
            </w:r>
          </w:p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</w:p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color w:val="000000"/>
                <w:sz w:val="24"/>
                <w:szCs w:val="24"/>
                <w:lang w:eastAsia="ru-RU"/>
              </w:rPr>
              <w:t>Решать задачи в 3-4 действия; находить разные способы решения задач; решать логические и комбинаторные задачи, используя рисунки.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5 - 7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 xml:space="preserve">Задачи на приведение к единице 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8 - 10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11 - 13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Задачи с выбором ответа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14 - 18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19 - 21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Задачи на опреде ление цены, коли чества, стоимости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22 - 24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Задачи на нахожде ние доли по числу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25 - 27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Задачи на нахожде ние числа по его доле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28 - 29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Задачи на нахождение площади и периметра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30 - 32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33 - 34</w:t>
            </w:r>
          </w:p>
        </w:tc>
        <w:tc>
          <w:tcPr>
            <w:tcW w:type="dxa" w:w="2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color w:val="000000"/>
                <w:sz w:val="24"/>
                <w:szCs w:val="24"/>
              </w:rPr>
              <w:t>Проверь себя (задачи разных типов и уровней сложности)</w:t>
            </w:r>
          </w:p>
        </w:tc>
        <w:tc>
          <w:tcPr>
            <w:tcW w:type="dxa" w:w="547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255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</w:tbl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sectPr>
      <w:footerReference r:id="rId2" w:type="default"/>
      <w:type w:val="nextPage"/>
      <w:pgSz w:h="16838" w:w="11906"/>
      <w:pgMar w:bottom="1276" w:footer="737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spacing w:after="16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927" w:val="num"/>
        </w:tabs>
        <w:ind w:hanging="360" w:left="927"/>
      </w:pPr>
    </w:lvl>
    <w:lvl w:ilvl="1">
      <w:start w:val="1"/>
      <w:numFmt w:val="decimal"/>
      <w:lvlText w:val="%2."/>
      <w:lvlJc w:val="left"/>
      <w:pPr>
        <w:tabs>
          <w:tab w:pos="1647" w:val="num"/>
        </w:tabs>
        <w:ind w:hanging="360" w:left="1647"/>
      </w:pPr>
    </w:lvl>
    <w:lvl w:ilvl="2">
      <w:start w:val="1"/>
      <w:numFmt w:val="decimal"/>
      <w:lvlText w:val="%3."/>
      <w:lvlJc w:val="left"/>
      <w:pPr>
        <w:tabs>
          <w:tab w:pos="2367" w:val="num"/>
        </w:tabs>
        <w:ind w:hanging="360" w:left="2367"/>
      </w:pPr>
    </w:lvl>
    <w:lvl w:ilvl="3">
      <w:start w:val="1"/>
      <w:numFmt w:val="decimal"/>
      <w:lvlText w:val="%4."/>
      <w:lvlJc w:val="left"/>
      <w:pPr>
        <w:tabs>
          <w:tab w:pos="3087" w:val="num"/>
        </w:tabs>
        <w:ind w:hanging="360" w:left="3087"/>
      </w:pPr>
    </w:lvl>
    <w:lvl w:ilvl="4">
      <w:start w:val="1"/>
      <w:numFmt w:val="decimal"/>
      <w:lvlText w:val="%5."/>
      <w:lvlJc w:val="left"/>
      <w:pPr>
        <w:tabs>
          <w:tab w:pos="3807" w:val="num"/>
        </w:tabs>
        <w:ind w:hanging="360" w:left="3807"/>
      </w:pPr>
    </w:lvl>
    <w:lvl w:ilvl="5">
      <w:start w:val="1"/>
      <w:numFmt w:val="decimal"/>
      <w:lvlText w:val="%6."/>
      <w:lvlJc w:val="left"/>
      <w:pPr>
        <w:tabs>
          <w:tab w:pos="4527" w:val="num"/>
        </w:tabs>
        <w:ind w:hanging="360" w:left="4527"/>
      </w:pPr>
    </w:lvl>
    <w:lvl w:ilvl="6">
      <w:start w:val="1"/>
      <w:numFmt w:val="decimal"/>
      <w:lvlText w:val="%7."/>
      <w:lvlJc w:val="left"/>
      <w:pPr>
        <w:tabs>
          <w:tab w:pos="5247" w:val="num"/>
        </w:tabs>
        <w:ind w:hanging="360" w:left="5247"/>
      </w:pPr>
    </w:lvl>
    <w:lvl w:ilvl="7">
      <w:start w:val="1"/>
      <w:numFmt w:val="decimal"/>
      <w:lvlText w:val="%8."/>
      <w:lvlJc w:val="left"/>
      <w:pPr>
        <w:tabs>
          <w:tab w:pos="5967" w:val="num"/>
        </w:tabs>
        <w:ind w:hanging="360" w:left="5967"/>
      </w:pPr>
    </w:lvl>
    <w:lvl w:ilvl="8">
      <w:start w:val="1"/>
      <w:numFmt w:val="decimal"/>
      <w:lvlText w:val="%9."/>
      <w:lvlJc w:val="left"/>
      <w:pPr>
        <w:tabs>
          <w:tab w:pos="6687" w:val="num"/>
        </w:tabs>
        <w:ind w:hanging="360" w:left="6687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60" w:before="0" w:line="254" w:lineRule="auto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zh-CN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 w:line="100" w:lineRule="atLeast"/>
    </w:pPr>
    <w:rPr>
      <w:rFonts w:ascii="Times New Roman" w:cs="Times New Roman" w:eastAsia="Times New Roman" w:hAnsi="Times New Roman"/>
      <w:sz w:val="24"/>
      <w:szCs w:val="24"/>
      <w:lang w:eastAsia="zh-CN"/>
    </w:rPr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No Spacing"/>
    <w:next w:val="style22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  <w:style w:styleId="style23" w:type="paragraph">
    <w:name w:val="Нижний колонтитул"/>
    <w:basedOn w:val="style0"/>
    <w:next w:val="style23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2015-01-11T15:06:00.00Z</dcterms:created>
  <dc:creator>Оксана</dc:creator>
  <cp:lastModifiedBy>Оксана</cp:lastModifiedBy>
  <cp:lastPrinted>2015-01-15T15:26:47.00Z</cp:lastPrinted>
  <dcterms:modified xsi:type="dcterms:W3CDTF">2015-01-11T17:20:00.00Z</dcterms:modified>
  <cp:revision>7</cp:revision>
</cp:coreProperties>
</file>