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jc w:val="center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-325755</wp:posOffset>
            </wp:positionH>
            <wp:positionV relativeFrom="paragraph">
              <wp:posOffset>0</wp:posOffset>
            </wp:positionV>
            <wp:extent cx="6772275" cy="1694815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169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leader="none" w:pos="709" w:val="left"/>
          <w:tab w:leader="none" w:pos="1125" w:val="left"/>
          <w:tab w:leader="none" w:pos="5100" w:val="left"/>
          <w:tab w:leader="none" w:pos="6379" w:val="left"/>
        </w:tabs>
        <w:spacing w:after="0" w:before="0" w:line="24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Положение 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 xml:space="preserve">о распределении средств 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 xml:space="preserve">на стимулирование инновационной деятельности 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учителей  МКОУ Инская СОШ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Шелаболихинского  района  Алтайского края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Настоящее положение об оценке результативности инновационной деятельности педагогических работников (далее Положение) определяет основания, порядок и критерии оценки результативности инновационной деятельности педагогических работников МКОУ «Инская СОШ»,  реализующих образовательные программы начального общего, основного общего, среднего (полного) общего образования.</w:t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Целью распределения средств инновационного фонда является</w:t>
      </w:r>
      <w:r>
        <w:rPr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создание условий для реализации механизма стимулирования инновационной деятельности учителей и содействия эффективной реализации федеральных, краевых, муниципальных, школьных программ модернизации и инновационного развития, направленных на обеспечение соответствия системы образования современным требованиям государственной политики в области образования; обеспечение зависимости оплаты учительского труда от результатов методической и инновационной деятельности путем процедур объективного оценивания качества результатов деятельности и осуществления на их основе материального стимулирования за счёт соответствующих выплат из инновационного фонда образовательного учреждения.</w:t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Задачами проведения оценки результативности инновационной деятельности педагогических работников являются: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- проведение системной самооценки педагогических работников собственных результатов инновационной и методической деятельности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- усиление материальной заинтересованности педагогических работников в повышении качества инновационной деятельности.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4.     Основанием для расчета средств на стимулирование инновационной деятельности между педагогами ОУ является результативность методической и инновационной деятельности каждого учителя за  год.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3. Инновационной фонд учреждения формируется   исходя из суммы набранных ОУ баллов при проведении оценки результативности инновационной деятельности за прошедший год.</w:t>
      </w:r>
    </w:p>
    <w:p>
      <w:pPr>
        <w:pStyle w:val="style0"/>
        <w:tabs>
          <w:tab w:leader="none" w:pos="283" w:val="left"/>
          <w:tab w:leader="none" w:pos="709" w:val="left"/>
          <w:tab w:leader="none" w:pos="851" w:val="left"/>
        </w:tabs>
        <w:spacing w:after="0" w:before="0" w:line="100" w:lineRule="atLeast"/>
        <w:ind w:firstLine="709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4. Средства инновационного фонда ОУ распределяются между педагогами по следующему принципу:</w:t>
      </w:r>
    </w:p>
    <w:p>
      <w:pPr>
        <w:pStyle w:val="style0"/>
        <w:tabs>
          <w:tab w:leader="none" w:pos="283" w:val="left"/>
          <w:tab w:leader="none" w:pos="709" w:val="left"/>
          <w:tab w:leader="none" w:pos="851" w:val="left"/>
        </w:tabs>
        <w:spacing w:after="0" w:before="0" w:line="100" w:lineRule="atLeast"/>
        <w:ind w:firstLine="709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Выплаты за счет средств инновационного фонда осуществляются ежемесячно в пределах плановой суммы на текущий (календарный) год в размере 1/12 часть от суммы на год.</w:t>
      </w:r>
    </w:p>
    <w:p>
      <w:pPr>
        <w:pStyle w:val="style0"/>
        <w:tabs>
          <w:tab w:leader="none" w:pos="283" w:val="left"/>
          <w:tab w:leader="none" w:pos="709" w:val="left"/>
          <w:tab w:leader="none" w:pos="851" w:val="left"/>
        </w:tabs>
        <w:spacing w:after="0" w:before="0" w:line="100" w:lineRule="atLeast"/>
        <w:ind w:firstLine="709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- объем средств, выделяемых муниципальному общеобразовательному учреждению на стимулирование инновационной деятельности на месяц, делится на общую сумму баллов, полученных при оценке результативности профессиональной инновационной деятельности педагогов  (получается стоимость одного балла);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- стоимость одного балла умножается на сумму баллов конкретного педагога.</w:t>
      </w:r>
    </w:p>
    <w:p>
      <w:pPr>
        <w:pStyle w:val="style20"/>
        <w:widowControl/>
        <w:ind w:firstLine="54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5. Основанием для расчета средств на стимулирование инновационной  деятельности являются показатели (индикаторы), отраженные в Оценочном  листе (Приложение 1) по которым определяется достижение поставленных  целей.  Основанием для подтверждения инновационной деятельности  педработника является набор баллов не менее, чем по 3 блокам критериев.</w:t>
      </w:r>
    </w:p>
    <w:p>
      <w:pPr>
        <w:pStyle w:val="style20"/>
        <w:widowControl/>
        <w:ind w:firstLine="54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Критерии, раскрывающие работу педагога по направлениям инновационной деятельности не должны совпадать с критериями оценки педагога, связанными со стимулирующими выплатами.</w:t>
      </w:r>
    </w:p>
    <w:p>
      <w:pPr>
        <w:pStyle w:val="style0"/>
        <w:spacing w:after="0" w:before="0" w:line="24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sz w:val="24"/>
          <w:szCs w:val="24"/>
        </w:rPr>
        <w:t>6.   Для проведения объективной внешней оценки результативности инновационной деятельности учителя на основе его портфолио и оценочного листа в общеобразовательном учреждении приказом руководителя создаётся экспертная комиссия, состоящая из представителей администрации ОУ, совета трудового коллектива, учителей ОУ.</w:t>
      </w:r>
    </w:p>
    <w:p>
      <w:pPr>
        <w:pStyle w:val="style0"/>
        <w:spacing w:after="0" w:before="0" w:line="24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7. Председателем экспертного совета назначается руководитель или заместитель руководителя общеобразовательного учреждения по учебно-воспитательной работе. Председатель экспертного совета несёт ответственность за его работу, грамотное и своевременное оформление документации.</w:t>
      </w:r>
    </w:p>
    <w:p>
      <w:pPr>
        <w:pStyle w:val="style0"/>
        <w:spacing w:after="0" w:before="0" w:line="24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8.  В установленные приказом руководителя общеобразовательного учреждения сроки   педагогические работники передают в экспертную комиссию  собственное портфолио с заполненным собственноручно Оценочным листом, содержащим самооценку показателей результативности инновационной деятельности с приложением заверенных руководителем общеобразовательного учреждения копий документов, подтверждающих и уточняющих результативность их деятельности.</w:t>
      </w:r>
    </w:p>
    <w:p>
      <w:pPr>
        <w:pStyle w:val="style0"/>
        <w:spacing w:after="0" w:before="0" w:line="24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9. Экспертная комиссия  проводит на основе представленных в портфолио и оценочном листе материалов экспертную оценку результативности инновационной деятельности учителя за отчётный период в соответствии с критериями, представленными в данном положении.</w:t>
      </w:r>
    </w:p>
    <w:p>
      <w:pPr>
        <w:pStyle w:val="style0"/>
        <w:spacing w:after="0" w:before="0" w:line="24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10. Результаты экспертной оценки оформляются экспертной комиссией  в Оценочном листе результативности инновационной деятельности учителя за отчётный период. Результаты оформляются в баллах за каждый показатель результативности.</w:t>
      </w:r>
    </w:p>
    <w:p>
      <w:pPr>
        <w:pStyle w:val="style0"/>
        <w:spacing w:after="0" w:before="0" w:line="24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11. Оценочный лист, завершающийся итоговым баллом учителя, подписывается всеми членами экспертной комиссии, доводится для ознакомления под роспись учителю и после передаётся в экспертную комиссию для вынесения заключения о результативности профессиональной деятельности учителей учреждения.</w:t>
      </w:r>
    </w:p>
    <w:p>
      <w:pPr>
        <w:pStyle w:val="style0"/>
        <w:spacing w:after="0" w:before="0" w:line="24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12.Результаты работы экспертной комиссии  оформляются протоколами, срок хранения которых – 5 лет. Протоколы хранятся администрацией общеобразовательного учреждения. Решения экспертной комиссии  принимаются на основе открытого голосования путём подсчёта простого большинства голосов.</w:t>
      </w:r>
    </w:p>
    <w:p>
      <w:pPr>
        <w:pStyle w:val="style0"/>
        <w:spacing w:after="0" w:before="0" w:line="24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sz w:val="24"/>
          <w:szCs w:val="24"/>
        </w:rPr>
        <w:t>13. Средства инновационного фонда распределяются 1 раз в год.</w:t>
      </w:r>
    </w:p>
    <w:p>
      <w:pPr>
        <w:pStyle w:val="style0"/>
        <w:spacing w:after="0" w:before="0" w:line="240" w:lineRule="atLeast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right"/>
      </w:pPr>
      <w:r>
        <w:rPr>
          <w:rFonts w:ascii="Times New Roman" w:cs="Times New Roman" w:hAnsi="Times New Roman"/>
          <w:sz w:val="24"/>
          <w:szCs w:val="24"/>
        </w:rPr>
        <w:t>Приложение № 1</w:t>
      </w:r>
    </w:p>
    <w:p>
      <w:pPr>
        <w:pStyle w:val="style0"/>
        <w:pageBreakBefore/>
      </w:pPr>
      <w:r>
        <w:rPr>
          <w:sz w:val="24"/>
          <w:szCs w:val="24"/>
          <w:lang w:val="ru-RU"/>
        </w:rPr>
        <w:t>ЛИСТ ОЦЕНИВАНИЯ</w:t>
      </w:r>
    </w:p>
    <w:p>
      <w:pPr>
        <w:pStyle w:val="style0"/>
      </w:pPr>
      <w:r>
        <w:rPr>
          <w:sz w:val="24"/>
          <w:szCs w:val="24"/>
          <w:lang w:val="ru-RU"/>
        </w:rPr>
        <w:t>инновационной деятельности учителя, классного руководителя</w:t>
      </w:r>
    </w:p>
    <w:p>
      <w:pPr>
        <w:pStyle w:val="style0"/>
      </w:pPr>
      <w:r>
        <w:rPr>
          <w:sz w:val="24"/>
          <w:szCs w:val="24"/>
          <w:lang w:val="ru-RU"/>
        </w:rPr>
        <w:t>Ф.И.О. ___________________________________________</w:t>
      </w:r>
    </w:p>
    <w:p>
      <w:pPr>
        <w:pStyle w:val="style0"/>
      </w:pPr>
      <w:r>
        <w:rPr/>
      </w:r>
    </w:p>
    <w:tbl>
      <w:tblPr>
        <w:jc w:val="left"/>
        <w:tblInd w:type="dxa" w:w="-216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582"/>
        <w:gridCol w:w="2628"/>
        <w:gridCol w:w="3534"/>
        <w:gridCol w:w="1048"/>
        <w:gridCol w:w="975"/>
        <w:gridCol w:w="873"/>
      </w:tblGrid>
      <w:tr>
        <w:trPr>
          <w:cantSplit w:val="false"/>
        </w:trPr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 w:eastAsia="Calibri"/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>п/п</w:t>
            </w:r>
          </w:p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26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type="dxa" w:w="35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Индикатор</w:t>
            </w:r>
          </w:p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104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Оценка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(баллы)</w:t>
            </w:r>
          </w:p>
        </w:tc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самооценка</w:t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Оценка экспертов</w:t>
            </w:r>
          </w:p>
        </w:tc>
      </w:tr>
      <w:tr>
        <w:trPr>
          <w:cantSplit w:val="false"/>
        </w:trPr>
        <w:tc>
          <w:tcPr>
            <w:tcW w:type="dxa" w:w="9640"/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1. Внедрение современных образовательных технологий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type="dxa" w:w="26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Эффективное использование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педагогическим работником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педагогических технологий,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реализующих системно-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деятельностный подход</w:t>
            </w:r>
          </w:p>
        </w:tc>
        <w:tc>
          <w:tcPr>
            <w:tcW w:type="dxa" w:w="35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положительная динамика метапредметных результатов школьников: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мотивация учебной деятельности;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умение работать с разными видами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учебных текстов;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умение организовывать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самостоятельную учебную деятельность;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умение работать в малых группах</w:t>
            </w:r>
          </w:p>
        </w:tc>
        <w:tc>
          <w:tcPr>
            <w:tcW w:type="dxa" w:w="104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type="dxa" w:w="26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Использование педагогическими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работниками системы оценки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планируемых образовательных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результатов в соответствии с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ФГОС</w:t>
            </w:r>
          </w:p>
        </w:tc>
        <w:tc>
          <w:tcPr>
            <w:tcW w:type="dxa" w:w="35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система оценки метапредметных и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предметных результатов осуществляется с использованием: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уровневого подхода;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иного вида оценивания, отличного от 5-бального подхода: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бинарного оценивания;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комплексного подхода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(метапредметные и предметные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результаты);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инструментов оценки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метапредметных умений учащихся;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организации самооценки учащихся</w:t>
            </w:r>
          </w:p>
        </w:tc>
        <w:tc>
          <w:tcPr>
            <w:tcW w:type="dxa" w:w="104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type="dxa" w:w="26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Привлечение школьников к проектной и исследовательской деятельности</w:t>
            </w:r>
          </w:p>
        </w:tc>
        <w:tc>
          <w:tcPr>
            <w:tcW w:type="dxa" w:w="35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руководство научным обществом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учащихся;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разработка и реализация программ,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направленных на развитие проектной и исследовательской деятельности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школьников;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результаты участия школьников в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конференциях и конкурсах: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увеличение доли участников по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сравнению с предыдущим периодом;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сохранение доли победителей и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призеров по сравнению с предыдущим периодом на муниципальном уровне;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увеличение доли победителей и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призеров по сравнению с предыдущим периодом на краевом уровне</w:t>
            </w:r>
          </w:p>
        </w:tc>
        <w:tc>
          <w:tcPr>
            <w:tcW w:type="dxa" w:w="104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3 балла</w:t>
            </w:r>
          </w:p>
        </w:tc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40"/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2. Внедрение профстандарта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 xml:space="preserve">2.1. </w:t>
            </w:r>
          </w:p>
        </w:tc>
        <w:tc>
          <w:tcPr>
            <w:tcW w:type="dxa" w:w="26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Проведение педагогическим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работником мероприятий в рамках дифференцированной программы повышения профессионального уровня педагогических работников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type="dxa" w:w="35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выступление на мероприятиях школьного уровня (</w:t>
            </w:r>
            <w:r>
              <w:rPr>
                <w:i/>
                <w:iCs/>
                <w:sz w:val="24"/>
                <w:szCs w:val="24"/>
                <w:lang w:val="ru-RU"/>
              </w:rPr>
              <w:t>педагогический совет, методический совет и т.д</w:t>
            </w:r>
            <w:r>
              <w:rPr>
                <w:sz w:val="24"/>
                <w:szCs w:val="24"/>
                <w:lang w:val="ru-RU"/>
              </w:rPr>
              <w:t>.);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проведение открытых мероприятий на муниципальном уровне</w:t>
            </w:r>
          </w:p>
        </w:tc>
        <w:tc>
          <w:tcPr>
            <w:tcW w:type="dxa" w:w="104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</w:tc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40"/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3. Достижение эффектов и результатов внедрения ФГОС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type="dxa" w:w="26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Качество разработанной рабочей программы учебного предмета</w:t>
            </w:r>
          </w:p>
        </w:tc>
        <w:tc>
          <w:tcPr>
            <w:tcW w:type="dxa" w:w="35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направленность на достижение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предметных, метапредметных и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личностных результатов;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направленность на обеспечение контроля и оценки предметных и метапредметных результатов;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направленность на реализацию системно-деятельностного подхода в части методики преподавания</w:t>
            </w:r>
          </w:p>
        </w:tc>
        <w:tc>
          <w:tcPr>
            <w:tcW w:type="dxa" w:w="104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3.2.</w:t>
            </w:r>
          </w:p>
        </w:tc>
        <w:tc>
          <w:tcPr>
            <w:tcW w:type="dxa" w:w="26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Качество достигаемых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образовательных результатов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обучающихся (</w:t>
            </w:r>
            <w:r>
              <w:rPr>
                <w:i/>
                <w:iCs/>
                <w:sz w:val="24"/>
                <w:szCs w:val="24"/>
                <w:lang w:val="ru-RU"/>
              </w:rPr>
              <w:t>при обучении</w:t>
            </w:r>
          </w:p>
          <w:p>
            <w:pPr>
              <w:pStyle w:val="style0"/>
              <w:spacing w:after="200" w:before="0"/>
            </w:pPr>
            <w:r>
              <w:rPr>
                <w:i/>
                <w:iCs/>
                <w:sz w:val="24"/>
                <w:szCs w:val="24"/>
                <w:lang w:val="ru-RU"/>
              </w:rPr>
              <w:t>предмету педагог обеспечивает достижение предметных, метапредметных, личностных образовательных результатов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type="dxa" w:w="35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позитивная динамика освоения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обучающимися универсальных учебных действий;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позитивная динамика числа обучающихся, выполнивших самостоятельно образовательные проекты по предмету</w:t>
            </w:r>
          </w:p>
        </w:tc>
        <w:tc>
          <w:tcPr>
            <w:tcW w:type="dxa" w:w="104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40"/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4. Проведение методических и иных мероприятий в рамках инновационной инфраструктуры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4.1.</w:t>
            </w:r>
          </w:p>
        </w:tc>
        <w:tc>
          <w:tcPr>
            <w:tcW w:type="dxa" w:w="26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Эффективная работа в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методическом объединении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педагогов в рамках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инновационной тематики</w:t>
            </w:r>
          </w:p>
        </w:tc>
        <w:tc>
          <w:tcPr>
            <w:tcW w:type="dxa" w:w="35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участие в экспертных работах (рабочие программы, педагогическая деятельность учителей, методические разработки и др);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проведение мастер-классов, открытых уроков, занятий по внеурочной деятельности, родительских собраний и др.;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руководство инновационным проектом</w:t>
            </w:r>
          </w:p>
        </w:tc>
        <w:tc>
          <w:tcPr>
            <w:tcW w:type="dxa" w:w="104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40"/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5. Предоставление ресурсов для обучения всех учащихся школьного округа (кадровых, материально-технических, информационно-методических и др.) обеспечивающих создание условий, соответствующих ФГОС общего образования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5.1.</w:t>
            </w:r>
          </w:p>
        </w:tc>
        <w:tc>
          <w:tcPr>
            <w:tcW w:type="dxa" w:w="26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Наличие функционирующего,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обновляемого сайта (</w:t>
            </w:r>
            <w:r>
              <w:rPr>
                <w:i/>
                <w:iCs/>
                <w:sz w:val="24"/>
                <w:szCs w:val="24"/>
                <w:lang w:val="ru-RU"/>
              </w:rPr>
              <w:t>страницы на официальном школьном и иных профессиональных сайтах, сайтах профессиональных сообществ</w:t>
            </w:r>
            <w:r>
              <w:rPr>
                <w:sz w:val="24"/>
                <w:szCs w:val="24"/>
                <w:lang w:val="ru-RU"/>
              </w:rPr>
              <w:t>)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под руководством педагога по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реализации проектной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type="dxa" w:w="35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сайт успешно функционирует, регулярно обновляется (</w:t>
            </w:r>
            <w:r>
              <w:rPr>
                <w:i/>
                <w:iCs/>
                <w:sz w:val="24"/>
                <w:szCs w:val="24"/>
                <w:lang w:val="ru-RU"/>
              </w:rPr>
              <w:t>не реже 2-3 раз в месяц</w:t>
            </w:r>
            <w:r>
              <w:rPr>
                <w:sz w:val="24"/>
                <w:szCs w:val="24"/>
                <w:lang w:val="ru-RU"/>
              </w:rPr>
              <w:t>), на нем опубликована вся необходимая информация;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сайт успешно функционирует, регулярно обновляется (</w:t>
            </w:r>
            <w:r>
              <w:rPr>
                <w:i/>
                <w:iCs/>
                <w:sz w:val="24"/>
                <w:szCs w:val="24"/>
                <w:lang w:val="ru-RU"/>
              </w:rPr>
              <w:t>не реже 4-5 раз в месяц</w:t>
            </w:r>
            <w:r>
              <w:rPr>
                <w:sz w:val="24"/>
                <w:szCs w:val="24"/>
                <w:lang w:val="ru-RU"/>
              </w:rPr>
              <w:t>), является источником информационно-методических для учащихся, педагогов, способом обмена информацией и опытом</w:t>
            </w:r>
          </w:p>
        </w:tc>
        <w:tc>
          <w:tcPr>
            <w:tcW w:type="dxa" w:w="104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</w:tc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5.2.</w:t>
            </w:r>
          </w:p>
        </w:tc>
        <w:tc>
          <w:tcPr>
            <w:tcW w:type="dxa" w:w="26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Эффективная деятельность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педагогического работника в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рамках школьного округа в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совместных мероприятий для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учащихся округа</w:t>
            </w:r>
          </w:p>
        </w:tc>
        <w:tc>
          <w:tcPr>
            <w:tcW w:type="dxa" w:w="35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участие в организации и проведении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мероприятий для учащихся школьного округа (</w:t>
            </w:r>
            <w:r>
              <w:rPr>
                <w:i/>
                <w:iCs/>
                <w:sz w:val="24"/>
                <w:szCs w:val="24"/>
                <w:lang w:val="ru-RU"/>
              </w:rPr>
              <w:t>конференции, конкурсы,</w:t>
            </w:r>
          </w:p>
          <w:p>
            <w:pPr>
              <w:pStyle w:val="style0"/>
            </w:pPr>
            <w:r>
              <w:rPr>
                <w:i/>
                <w:iCs/>
                <w:sz w:val="24"/>
                <w:szCs w:val="24"/>
                <w:lang w:val="ru-RU"/>
              </w:rPr>
              <w:t>соревнования, выставки, сетевые</w:t>
            </w:r>
          </w:p>
          <w:p>
            <w:pPr>
              <w:pStyle w:val="style0"/>
            </w:pPr>
            <w:r>
              <w:rPr>
                <w:i/>
                <w:iCs/>
                <w:sz w:val="24"/>
                <w:szCs w:val="24"/>
                <w:lang w:val="ru-RU"/>
              </w:rPr>
              <w:t>проекты, в том числе дистанционные др.</w:t>
            </w:r>
            <w:r>
              <w:rPr>
                <w:sz w:val="24"/>
                <w:szCs w:val="24"/>
                <w:lang w:val="ru-RU"/>
              </w:rPr>
              <w:t>):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мероприятие в год;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2-3 мероприятия в год</w:t>
            </w:r>
          </w:p>
        </w:tc>
        <w:tc>
          <w:tcPr>
            <w:tcW w:type="dxa" w:w="104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</w:tc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40"/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6. Соответствие результатов государственной итоговой аттестации выпускников 9, 11 классов общеобразовательных организаций в форме ЕГЭ и ОГЭ среднекраевым показателям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6.1.</w:t>
            </w:r>
          </w:p>
        </w:tc>
        <w:tc>
          <w:tcPr>
            <w:tcW w:type="dxa" w:w="26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Средний балл результатов ЕГЭ обучающихся по предмету в текущем учебном году</w:t>
            </w:r>
          </w:p>
        </w:tc>
        <w:tc>
          <w:tcPr>
            <w:tcW w:type="dxa" w:w="35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значение среднего балла по предмету выше среднего значения по муниципалитету;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значение среднего балла по предмету выше среднекраевого значения</w:t>
            </w:r>
          </w:p>
        </w:tc>
        <w:tc>
          <w:tcPr>
            <w:tcW w:type="dxa" w:w="104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4 балла</w:t>
            </w:r>
          </w:p>
        </w:tc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6.2.</w:t>
            </w:r>
          </w:p>
        </w:tc>
        <w:tc>
          <w:tcPr>
            <w:tcW w:type="dxa" w:w="26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Средний балл результатов ОГЭ обучающихся образовательной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организации по предмету в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текущем учебном году</w:t>
            </w:r>
          </w:p>
        </w:tc>
        <w:tc>
          <w:tcPr>
            <w:tcW w:type="dxa" w:w="35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значение среднего балла по предмету выше среднего значения по муниципалитету;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значение среднего по предмету выше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среднекраевого значения</w:t>
            </w:r>
          </w:p>
        </w:tc>
        <w:tc>
          <w:tcPr>
            <w:tcW w:type="dxa" w:w="104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4 балла</w:t>
            </w:r>
          </w:p>
        </w:tc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6.3.</w:t>
            </w:r>
          </w:p>
        </w:tc>
        <w:tc>
          <w:tcPr>
            <w:tcW w:type="dxa" w:w="26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Доля учащихся, получивших по предмету по результатам ОГЭ отметки «4» и «5»</w:t>
            </w:r>
          </w:p>
        </w:tc>
        <w:tc>
          <w:tcPr>
            <w:tcW w:type="dxa" w:w="35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 xml:space="preserve">40 -49 % обучающихся; 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50 -59 % обучающихся;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60 -75 % обучающихся;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более 75 % обучающихся</w:t>
            </w:r>
          </w:p>
        </w:tc>
        <w:tc>
          <w:tcPr>
            <w:tcW w:type="dxa" w:w="104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3 балла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4 балла</w:t>
            </w:r>
          </w:p>
        </w:tc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40"/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7. Положительная динамика доли школьников, участвовавших в муниципальном туре всероссийской олимпиады школьников, в региональном туре всероссийской олимпиады школьников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type="dxa" w:w="26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Доля обучающихся по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программам общего образования, участвующих во всероссийской олимпиаде школьников (ВОШ)</w:t>
            </w:r>
          </w:p>
        </w:tc>
        <w:tc>
          <w:tcPr>
            <w:tcW w:type="dxa" w:w="35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увеличение доли школьников, принявших участие в ВОШ: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в муниципальном этапе;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в региональном этапе увеличение доли школьников, ставших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победителями и призерами в ВОШ: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в муниципальном этапе;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в региональном этапе</w:t>
            </w:r>
          </w:p>
        </w:tc>
        <w:tc>
          <w:tcPr>
            <w:tcW w:type="dxa" w:w="104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3 балла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4 балла</w:t>
            </w:r>
          </w:p>
        </w:tc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type="dxa" w:w="26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Доля обучающихся по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программам общего образования, участвующих, победителей и призеров в олимпиадах и конкурсах различного уровня: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дистанционные конкурсы и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марафоны</w:t>
            </w:r>
          </w:p>
        </w:tc>
        <w:tc>
          <w:tcPr>
            <w:tcW w:type="dxa" w:w="35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сохранение доли победителей и призеров в олимпиадах и конкурсах различного уровня по сравнению с предыдущим периодом;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увеличение доли участников в олимпиадах и конкурсах различного уровня по сравнению с предыдущим периодом;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увеличение доли победителей и призеров в олимпиадах и конкурсах различного уровня по сравнению с предыдущим периодом на: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до 40 %;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41 % и более</w:t>
            </w:r>
          </w:p>
        </w:tc>
        <w:tc>
          <w:tcPr>
            <w:tcW w:type="dxa" w:w="104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3 балла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4 балла</w:t>
            </w:r>
          </w:p>
        </w:tc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40"/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8. Увеличение доли учителей, участвующих в профессиональных конкурсах краевого и всероссийского уровней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8.1.</w:t>
            </w:r>
          </w:p>
        </w:tc>
        <w:tc>
          <w:tcPr>
            <w:tcW w:type="dxa" w:w="26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Участие педагогов в  региональном конкурсе «ИКТО»</w:t>
            </w:r>
          </w:p>
        </w:tc>
        <w:tc>
          <w:tcPr>
            <w:tcW w:type="dxa" w:w="35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участие в очном туре краевого этапа;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получение диплома лауреата;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получение диплома победителя;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получение Гран-при конкурса</w:t>
            </w:r>
          </w:p>
        </w:tc>
        <w:tc>
          <w:tcPr>
            <w:tcW w:type="dxa" w:w="104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3 балла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3 балла</w:t>
            </w:r>
          </w:p>
        </w:tc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8.2.</w:t>
            </w:r>
          </w:p>
        </w:tc>
        <w:tc>
          <w:tcPr>
            <w:tcW w:type="dxa" w:w="26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Участие педагога в конкурсах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профессионального мастерства</w:t>
            </w:r>
          </w:p>
        </w:tc>
        <w:tc>
          <w:tcPr>
            <w:tcW w:type="dxa" w:w="35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участие в муниципальном этапе конкурса;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призовое место в муниципальном этапе конкурса;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победа в муниципальном этапе конкурса;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участие в краевом этапе конкурса;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призовое место в краевом этапе конкурса;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победа в краевом этапе конкурса;</w:t>
            </w:r>
          </w:p>
        </w:tc>
        <w:tc>
          <w:tcPr>
            <w:tcW w:type="dxa" w:w="104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0,5 балла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3 балла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4 балла</w:t>
            </w:r>
          </w:p>
        </w:tc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8.3.</w:t>
            </w:r>
          </w:p>
        </w:tc>
        <w:tc>
          <w:tcPr>
            <w:tcW w:type="dxa" w:w="262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Привлечение педагога к работе в качестве эксперта, члена жюри</w:t>
            </w:r>
          </w:p>
        </w:tc>
        <w:tc>
          <w:tcPr>
            <w:tcW w:type="dxa" w:w="353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на муниципальном уровне:</w:t>
            </w:r>
          </w:p>
        </w:tc>
        <w:tc>
          <w:tcPr>
            <w:tcW w:type="dxa" w:w="104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8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40"/>
            <w:gridSpan w:val="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9. Внедрение системы управления качеством образования</w:t>
            </w:r>
          </w:p>
        </w:tc>
      </w:tr>
      <w:tr>
        <w:trPr>
          <w:cantSplit w:val="false"/>
        </w:trPr>
        <w:tc>
          <w:tcPr>
            <w:tcW w:type="dxa" w:w="582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9.1.</w:t>
            </w:r>
          </w:p>
        </w:tc>
        <w:tc>
          <w:tcPr>
            <w:tcW w:type="dxa" w:w="2628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Эффективное</w:t>
            </w:r>
          </w:p>
          <w:p>
            <w:pPr>
              <w:pStyle w:val="style0"/>
            </w:pPr>
            <w:r>
              <w:rPr>
                <w:rFonts w:cs="Calibri"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применение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в деятельности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педагогического работника АИС «Сетевой край. Образование».</w:t>
            </w:r>
          </w:p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3534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alibri"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Своевременное ведение электронного журнала (текущие,</w:t>
            </w:r>
          </w:p>
          <w:p>
            <w:pPr>
              <w:pStyle w:val="style0"/>
            </w:pPr>
            <w:r>
              <w:rPr>
                <w:rFonts w:cs="Calibri" w:eastAsia="Calibri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промежуточные и итоговые оценки, темы   уроков, домашнее задание);</w:t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 xml:space="preserve">ведение электронного журнала (текущие,  промежуточные и итоговые оценки, темы  уроков, домашнее задание); </w:t>
            </w:r>
          </w:p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  <w:lang w:val="ru-RU"/>
              </w:rPr>
              <w:t>сетевое взаимодействие через АИС с учащимися,   родителями</w:t>
            </w:r>
          </w:p>
        </w:tc>
        <w:tc>
          <w:tcPr>
            <w:tcW w:type="dxa" w:w="1048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1 балл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  <w:lang w:val="ru-RU"/>
              </w:rPr>
              <w:t>3 балла</w:t>
            </w:r>
          </w:p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97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87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/>
            </w:r>
          </w:p>
        </w:tc>
      </w:tr>
    </w:tbl>
    <w:p>
      <w:pPr>
        <w:pStyle w:val="style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p>
      <w:pPr>
        <w:pStyle w:val="style20"/>
        <w:widowControl/>
        <w:spacing w:line="240" w:lineRule="atLeast"/>
        <w:ind w:firstLine="540" w:left="0" w:right="0"/>
        <w:jc w:val="both"/>
      </w:pPr>
      <w:r>
        <w:rPr/>
      </w:r>
    </w:p>
    <w:sectPr>
      <w:footerReference r:id="rId3" w:type="default"/>
      <w:type w:val="nextPage"/>
      <w:pgSz w:h="16838" w:w="11906"/>
      <w:pgMar w:bottom="1296" w:footer="737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</w:pPr>
    <w:r>
      <w:rPr/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Lohit Hindi" w:eastAsia="WenQuanYi Zen Hei" w:hAnsi="Liberation Serif"/>
      <w:color w:val="00000A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Lohit Hindi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Lohit Hindi"/>
    </w:rPr>
  </w:style>
  <w:style w:styleId="style20" w:type="paragraph">
    <w:name w:val="ConsPlusNormal"/>
    <w:next w:val="style20"/>
    <w:pPr>
      <w:widowControl w:val="false"/>
      <w:tabs>
        <w:tab w:leader="none" w:pos="709" w:val="left"/>
      </w:tabs>
      <w:suppressAutoHyphens w:val="true"/>
      <w:overflowPunct w:val="false"/>
      <w:spacing w:after="0" w:before="0"/>
      <w:ind w:firstLine="720" w:left="0" w:right="0"/>
    </w:pPr>
    <w:rPr>
      <w:rFonts w:ascii="Arial" w:cs="Arial" w:eastAsia="Times New Roman" w:hAnsi="Arial"/>
      <w:color w:val="00000A"/>
      <w:sz w:val="20"/>
      <w:szCs w:val="20"/>
      <w:lang w:bidi="ar-SA" w:eastAsia="zh-CN" w:val="ru-RU"/>
    </w:rPr>
  </w:style>
  <w:style w:styleId="style21" w:type="paragraph">
    <w:name w:val="Абзац списка"/>
    <w:basedOn w:val="style0"/>
    <w:next w:val="style21"/>
    <w:pPr>
      <w:spacing w:after="200" w:before="0" w:line="276" w:lineRule="auto"/>
      <w:ind w:hanging="0" w:left="720" w:right="0"/>
    </w:pPr>
    <w:rPr>
      <w:rFonts w:ascii="Calibri" w:cs="Calibri" w:eastAsia="Calibri" w:hAnsi="Calibri"/>
      <w:sz w:val="22"/>
      <w:szCs w:val="22"/>
    </w:rPr>
  </w:style>
  <w:style w:styleId="style22" w:type="paragraph">
    <w:name w:val="Нижний колонтитул"/>
    <w:basedOn w:val="style0"/>
    <w:next w:val="style22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2015-03-11T11:01:43.00Z</dcterms:created>
  <dc:creator>marina </dc:creator>
  <cp:lastPrinted>2015-03-11T11:28:05.00Z</cp:lastPrinted>
  <cp:revision>0</cp:revision>
</cp:coreProperties>
</file>