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ПУБЛИЧНЫЙ  ОТЧЕТ  ЗА 2013-2014УЧЕБНЫЙ  ГОД</w:t>
      </w:r>
    </w:p>
    <w:p>
      <w:pPr>
        <w:pStyle w:val="style0"/>
        <w:tabs>
          <w:tab w:leader="none" w:pos="2385" w:val="left"/>
        </w:tabs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МКОУ» ИНСКАЯ  СОШ»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Сегодня мы подводим итоги 2013 – 2014 учебного года и ставим задачи на новый учебный год. В 2013 – 2014 году в школе обучалось 55 учащихся.  В 1-4 классах 29 учащихся,  в 5 – 9 классах  – 20 учащихся, в 10 – 11 классах 6 учащихся из них , девочек - 29,  мальчиков - 26.  В течение года прибывших и убывших не было, кроме выбывшего из школы по достижению 18–ти  летия Попова Николая. Средняя наполняемость классов по школе составляла 5,5 человек, норматив для сельских школ 13 учащихся.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Успеваемость  по школе составила – 98%. По итогам года,   по  решению ПМПК , которая  состоялась в  мае 2014 года,  оставлены на повторный год  из первого класса  две ученицы,. Одна из учениц, переведена на обучение по адаптированной программе 8 вида в Павловскую коррекционную школу.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Всего в школе обучались по 8 виду – 4 ученика и по 7 виду – 1. Конечно же, условия для обучения таких детей в школе не созданы и учащиеся обучающиеся по адаптированной   программе 8 вида должны заниматься в специальных учреждениях, где могут получить квалифицированную помощь специалистов. Но зачастую родители отказываются отправлять своих детей в эти учреждения. Наша задача вести с родителями разъяснительную работу.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В школе  нет ставок педагога- психолога, логопеда, нет дефектологов, хотя школа нуждается в таких специальностях.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 xml:space="preserve">На «4» и «5» обучается 21 ученик.  Качество обучения по школе составило 41.2%, хотя в течение учебного года велась постоянная  работа по повышению качества знания обучающихся.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Одной из причин не высокого качества обучения по-прежнему остается нежелание детей учиться, преодолевать трудности, не выработана усидчивость, нет целеустремления,  слабый контроль со стороны родителей.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В школе имеется резерв для повышения качества обучения. «Резерв» - это дети, имеющие одну «3», таких у нас в школе 4 ученика. В основном в резервисты входят обучающиеся, которые испытывают затруднения в математике или русском  языке.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Итоговая аттестация выпускников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Одним из критериев оценки качества образования являются результаты государственной (итоговой) аттестации выпускников.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В школе обучалось 3 выпускника в 9 классе и 3 ученика в 11 классе. Все  обучающиеся были допущены к итоговой аттестации.       За курс основной школы в форме ГИА сдавала 1 ученица. Результаты таковы: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– </w:t>
      </w:r>
      <w:r>
        <w:rPr>
          <w:rFonts w:ascii="Times New Roman" w:cs="Times New Roman" w:hAnsi="Times New Roman"/>
          <w:sz w:val="24"/>
          <w:szCs w:val="24"/>
        </w:rPr>
        <w:t>русский язык  набрано – 26 баллов, процент выполнениия – 61,9;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- математика – 13 баллов, процент выполнения – 34.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Два ученика, занимающиеся по программе 8 вида коррекционной школы, итоговую аттестацию прошли в школе по трудовому обучению. Успеваемость за курс основной школы – 100%.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В 11 классе три выпускника сдавали только обязательные предметы – русский язык и математику.  Средний процент выполнения работы   составил: - 51,6% по русскому языку и 27,3% по математике.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Для улучшения качества знания выпускников необходимо:</w:t>
      </w:r>
    </w:p>
    <w:p>
      <w:pPr>
        <w:pStyle w:val="style21"/>
        <w:numPr>
          <w:ilvl w:val="0"/>
          <w:numId w:val="1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Спланировать работу всем учителям – предметникам по ликвидации пробелов в знаниях.</w:t>
      </w:r>
    </w:p>
    <w:p>
      <w:pPr>
        <w:pStyle w:val="style21"/>
        <w:numPr>
          <w:ilvl w:val="0"/>
          <w:numId w:val="1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Усилить работу с родителями.</w:t>
      </w:r>
    </w:p>
    <w:p>
      <w:pPr>
        <w:pStyle w:val="style21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Социальная адаптация выпускников школы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  <w:u w:val="single"/>
        </w:rPr>
        <w:t>Выпускники основной школы: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1 – продолжает обучение в педагогическом колледже;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2 – ученика, обучающиеся по адаптированной программе,  работают.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  <w:u w:val="single"/>
        </w:rPr>
        <w:t xml:space="preserve">Выпускники средней школы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2 – поступили в строительно-архитектурный  колледж;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1 – обучается в промышленно-экономическом колледже.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Социальный состав учащихся школы.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Количество семей – 39,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-  полных семей – 21,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- неполных семей – 14,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многодетных семей – 4.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Педагогический коллектив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В 2013 – 2014 учебном году в школе работало 13 педагогов. Из них: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- имеют высшее образование – 5,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незаконченное высшее – 1,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- средне-специальное  образование- 7,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 Отличник народного образования – 1,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 Почетный работник общего образования – 1.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В сегодняшних условиях и постоянно растущих требованиях к педагогическим работникам, делается ставка на учителей с высшим образованием. И всем, кто моложе 40 лет, при аттестации работников выносятся  рекомендации получения высшего образования.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В целом ротация кадров не только у нас в школе, но и районе, стране характеризуется прогрессирующим старением и недостаточной степенью омоложения: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моложе (до 30 лет)   у нас в школе работает – 5 учителей, что составляет – 38,5 %.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По- прежнему в отдаленные села невозможно привлечь молодых специалистов, поскольку в большинстве из них отсутствует д/сад, базовое хозяйство, не предоставляется жилье. Хотя для  привлечения молодых специалистов в крае реализуется комплекс мер социальной поддержки  - проводятся выплаты «подъемных» денежных средств, действует краевая программа «Обеспечение жильем или улучшение жилищных условий молодых семей в Алтайском крае» благодаря которой молодой специалист может взять льготный кредит на приобретение жилья. Но, несмотря на это, молодые специалисты не желают ехать работать учителями в наше село, к тому же наше село труднодоступное.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Серьезной  проблемой, напрямую связанной с вопросом закрепления молодых кадров, остается  недостаточный уровень заработной платы.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Изменить ситуацию в лучшую сторону можно лишь расширением системы мер социальной поддержки молодых специалистов на всех уровнях власти.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Сегодня каждый учитель, как никогда работает над профессиональным ростом. Он должен в совершенстве владеть и внедрять в педагогический процесс инновационные технологии давать высокие качества знаний.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С каждым годом происходят существенные изменения в области информатизации образования в части оснащения школы компьютерной техникой, внедрения современных информационных технологий в учебно-воспитательный процесс. В 2013-2014 учебном году в школу поступило оборудование на сумму  - 204 142 рубля. Приобретено учебников на сумму – 19984 рубля.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Благодаря техническому оснащению кабинетов   все  учителя внедряют ИКТ в образовательный процесс.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Природа информационных технологий такова, что их развитие происходит стремительным образом. Для того, чтобы остаться на гребне волны новых информационных технологий в школе важную роль играет методическая работа.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Деятельность методической работы была направлена в 2013-2014 году на создание условий для непрерывного педагогического образования, организацию и осуществление повышения квалификации педагогических кадров. Школа работала над единой методической темой «Модернизация образовательной системы школы в соответствии с требованиями ФГОС».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Для повышения педагогического мастерства были проведены семинары, методические совещания. Постоянно учителя получают  рекомендации, консультации по актуальным вопросам.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Высшей формой коллективной методической работы всегда был и остается педагогический совет. Цель его проведения –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проблеме.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  <w:u w:val="single"/>
        </w:rPr>
        <w:t>Содержание деятельности</w:t>
      </w:r>
      <w:r>
        <w:rPr>
          <w:rFonts w:ascii="Times New Roman" w:cs="Times New Roman" w:hAnsi="Times New Roman"/>
          <w:sz w:val="24"/>
          <w:szCs w:val="24"/>
        </w:rPr>
        <w:t>: заслушивание творческих отчетов учителей, их теоретических знаний по конкретной методической проблеме, изложение результатов проделанной работы, принятие управленческого решения по проблеме. При проведении педагогических советов использовались различные формы:  педагогический совет на основе докладов и содокладов, педагогический совет – круглый стол, проблемный педагогический совет.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>Каждый педсовет несет как теоретическую, так и практическую направленность. В теоретической части идет знакомство коллектива с пониманием проблемы, наработанным материалом. Практическая часть предусматривает заседание школьных творческих групп, посещение и анализ уроков, внеклассных мероприятий, мозговой штурм, отслеживает результаты творческих наработок.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cs="Times New Roman" w:hAnsi="Times New Roman"/>
          <w:sz w:val="24"/>
          <w:szCs w:val="24"/>
          <w:u w:val="single"/>
        </w:rPr>
        <w:t>По итогам методической работы за 2013 – 2014 учебный год можно сделать выводы:</w:t>
      </w:r>
    </w:p>
    <w:p>
      <w:pPr>
        <w:pStyle w:val="style21"/>
        <w:numPr>
          <w:ilvl w:val="0"/>
          <w:numId w:val="3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Главное в методической работе – оказание реальной действенной помощи учителям. В нашей школе за этот учебный год в основном  планы  успешно реализованы. Методическая работа представляет относительно непрерывный, постоянный, повседневный процесс.</w:t>
      </w:r>
    </w:p>
    <w:p>
      <w:pPr>
        <w:pStyle w:val="style21"/>
        <w:numPr>
          <w:ilvl w:val="0"/>
          <w:numId w:val="3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Методическая работа позволяет глубоко изучить личностные качества учителя и классного руководителя, выявить затруднения и недостатки их деятельности, элементы передового опыта.</w:t>
      </w:r>
    </w:p>
    <w:p>
      <w:pPr>
        <w:pStyle w:val="style21"/>
        <w:numPr>
          <w:ilvl w:val="0"/>
          <w:numId w:val="3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В основном поставленные задачи перед методической работой школы выполнены: учителя находятся в поиске методов и приемов, обеспечивающих развитие каждого учащегося в соответствии с его склонностями, интересами и возможностями.</w:t>
      </w:r>
    </w:p>
    <w:p>
      <w:pPr>
        <w:pStyle w:val="style21"/>
        <w:numPr>
          <w:ilvl w:val="0"/>
          <w:numId w:val="3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Тематика заседаний МО, педсоветов, совещаний при директоре отражает основные проблемные вопросы, которые стремится решать педагогический коллектив школы.</w:t>
      </w:r>
    </w:p>
    <w:p>
      <w:pPr>
        <w:pStyle w:val="style21"/>
        <w:spacing w:after="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Приоритетные направления методической работы на 2014 – 2015 учебный год</w:t>
      </w:r>
    </w:p>
    <w:p>
      <w:pPr>
        <w:pStyle w:val="style21"/>
        <w:numPr>
          <w:ilvl w:val="0"/>
          <w:numId w:val="4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Повышение квалификации педагогического мастерства и категоричности кадров, обеспечивающих высокий уровень, усвоение базового и программного материала учащихся школы на всех ступенях обучения.</w:t>
      </w:r>
    </w:p>
    <w:p>
      <w:pPr>
        <w:pStyle w:val="style21"/>
        <w:numPr>
          <w:ilvl w:val="0"/>
          <w:numId w:val="4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Работа с молодыми и с вновь прибывшими специалистами по повышению их профессионального уровня.</w:t>
      </w:r>
    </w:p>
    <w:p>
      <w:pPr>
        <w:pStyle w:val="style21"/>
        <w:numPr>
          <w:ilvl w:val="0"/>
          <w:numId w:val="4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Обеспечение роста профессиональной компетентности учителей школы, как условие реализации целей развития личности учащихся; совершенствование учебно-воспитательного процесса.</w:t>
      </w:r>
    </w:p>
    <w:p>
      <w:pPr>
        <w:pStyle w:val="style21"/>
        <w:numPr>
          <w:ilvl w:val="0"/>
          <w:numId w:val="4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Развитие творческого потенциала педагогов и учащихся школы, формирование творческой, физически и нравственно здоровой, адаптированной к жизни в обществе личности, совершенствование учебно-воспитательного процесса.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Каждый педагог понимает, что мир меняется, меняются приоритеты и запросы общества. Поэтому каждый учитель значительное время уделяет самообразованию, постоянно повышает свой педагогический уровень, стремится к активному взаимодействию, обмену опытом, освоению инноваций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В прошлом учебном году  курсовую переподготовку при АКИПКРО прошел 1 учитель, обучаются заочно в вузах и колледжах 4 педагога.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Большая работа ведется в школе по внедрению новых образовательных стандартов. По ФГОС в школе занималось 19 детей ,1 – 3 классы.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На конец учебного года  обучающие    дети по ФГОС прошли комплексные контрольные работы в 1 – 3 классах. Результаты удовлетворительные.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Задачи, стоящие перед  педагогическим коллективом и родителями: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научить детей работать с текстом,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находить конкретные сведения и отвечать на поставленные вопросы.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Воспитательная работа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В школе ежегодно проводятся тематические воспитательные мероприятия -  месячники: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-пожилого человека,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- трудового обучения и воспитания,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- здорового образа жизни,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- военно-патриотического воспитания,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- профориентационной работы,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Вахта памяти и другие.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Гражданско-патриотическое воспитание – одно из основных направлений воспитательной работы, целью которого является формирование  гражданского и патриотического самосознания. Развитие чувства сопричастности к судьбам Отечества, сохранение и развитие чувства гордости за свою страну.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Основные формы патриотической работы являются увековечение памяти погибших защитников Родины в рамках проведения «Вахта памяти», операции «Забота» и «Милосердие» .Учащиеся постоянно занимаются благоустройством памятника  на территории школьного двора, оказывают помощь вдовам войны. Особо чтится память нашего земляка, ученика и учителя нашей школы, погибшего в Афганистане –            Александра  Высокоса.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Силами ученического, учительского коллектива готовились и проводились праздники посвященные « Дню пожилого человека», «Дню Учителя», Новогодние праздники, совместно с родителями проводились праздники посвященные  Женскому дню – 8 марта, Дню Победы.   На все праздники приглашались жители села, родители.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С участием  учащихся школы неоднократно проводились праздники для проживающих в психоинтернате.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В течение учебного года организуются общешкольные спортивные соревнования по баскетболу, футболу, минифутболу,  проводится  Осенний кросс, соревнования по теннису.В школе работают спортивные секции: спортивные игры, баскетбол, волейбол, теннис, шахматы.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Для учащихся начальных классов, занимающихся по ФГОС,  были организованы следующие внеурочные занятия: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«Спортивная карусель»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шахматы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«Наши руки не для скуки»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-«Наш дом – Земля»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Оздоровление детей в летний период занимает одно из важных мест в системе воспитания. Основной формой оздоровления школьников летом являются детские оздоровительные лагеря с дневным пребыванием при школе.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В школе было оздоровлено   в  лагере  дневного  пребывания– 15 детей из 1 – 5 классов. На их оздоровление было освоено: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средств социальной защиты на питание детей – 31 050 рублей,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родительская доля составила – 6210 рублей.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На родительские деньги были приобретены игры для детей.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4 ученика  школы отдыхали в загородном лагере «Дружба», Павловского района. На их оздоровление потрачено: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доля краевого бюджета – 35 075 рублей,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доля районного бюджета – 4 025 рублей,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родительская доля – 8 900 рублей.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За летний период для  5   старшеклассников было организовано временное трудоустройство через  «Шелаболихинский  центр занятости населения» - подросткам выплачено 9 913 рублей.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Проблемы в организации воспитательной работы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b/>
          <w:sz w:val="24"/>
          <w:szCs w:val="24"/>
          <w:u w:val="single"/>
        </w:rPr>
      </w:r>
    </w:p>
    <w:p>
      <w:pPr>
        <w:pStyle w:val="style21"/>
        <w:numPr>
          <w:ilvl w:val="0"/>
          <w:numId w:val="2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Недостаточная материально-техническая база для проведения внеклассных и внешкольных мероприятий.</w:t>
      </w:r>
    </w:p>
    <w:p>
      <w:pPr>
        <w:pStyle w:val="style21"/>
        <w:numPr>
          <w:ilvl w:val="0"/>
          <w:numId w:val="2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Выделяется недостаточное финансирование.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3.Нет  ставок  :  заместителя  директора  по воспитательной  работе , педагога -  организатора.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Охрана здоровья школьников.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В течение 2013 – 2014 учебного года в школе осуществлялся комплекс мер по сохранению и укреплению здоровья школьников, созданию безопасных условий организации учебно-воспитательного процесса.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Организация питания учащихся занимает одно из главных мест в вопросах охраны здоровья. Охват горячим питанием составляет – 100%.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На детей, состоящих на учете в управлении социальной поддержки населения, выделялось ежедневно из краевого бюджета – 4рубля 35 копеек на питание, получали льготное питание 42 ученика. Общая стоимость завтрака в среднем составляет 15 рублей, из них стоимость оценки сдаваемых родителями овощей составляет – 5 рублей.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 xml:space="preserve">В целях сохранения здоровья обучающихся, своевременного оказания лечебно-профилактической помощи детям проведен 100% осмотр учащихся. Динамика заболеваемости школьников </w:t>
      </w:r>
    </w:p>
    <w:tbl>
      <w:tblPr>
        <w:tblW w:type="dxa" w:w="10466"/>
        <w:jc w:val="left"/>
        <w:tblBorders>
          <w:top w:color="000001" w:space="0" w:sz="8" w:val="single"/>
          <w:left w:color="000001" w:space="0" w:sz="8" w:val="single"/>
          <w:bottom w:color="000001" w:space="0" w:sz="8" w:val="single"/>
        </w:tblBorders>
      </w:tblPr>
      <w:tblGrid>
        <w:gridCol w:w="412"/>
        <w:gridCol w:w="730"/>
        <w:gridCol w:w="1011"/>
        <w:gridCol w:w="898"/>
        <w:gridCol w:w="673"/>
        <w:gridCol w:w="2804"/>
        <w:gridCol w:w="3937"/>
      </w:tblGrid>
      <w:tr>
        <w:trPr>
          <w:trHeight w:hRule="atLeast" w:val="270"/>
          <w:cantSplit w:val="false"/>
        </w:trPr>
        <w:tc>
          <w:tcPr>
            <w:tcW w:type="dxa" w:w="412"/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  <w:sz w:val="20"/>
                <w:szCs w:val="20"/>
              </w:rPr>
              <w:t xml:space="preserve">№ </w:t>
            </w:r>
            <w:r>
              <w:rPr>
                <w:rFonts w:cs="Times New Roman" w:eastAsia="Calibri"/>
                <w:sz w:val="20"/>
                <w:szCs w:val="20"/>
              </w:rPr>
              <w:t>п/п</w:t>
            </w:r>
          </w:p>
        </w:tc>
        <w:tc>
          <w:tcPr>
            <w:tcW w:type="dxa" w:w="730"/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  <w:sz w:val="20"/>
                <w:szCs w:val="20"/>
              </w:rPr>
              <w:t>школа</w:t>
            </w:r>
          </w:p>
        </w:tc>
        <w:tc>
          <w:tcPr>
            <w:tcW w:type="dxa" w:w="1011"/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  <w:sz w:val="20"/>
                <w:szCs w:val="20"/>
              </w:rPr>
              <w:t>Обследовано уч-ся</w:t>
            </w:r>
          </w:p>
        </w:tc>
        <w:tc>
          <w:tcPr>
            <w:tcW w:type="dxa" w:w="898"/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  <w:sz w:val="20"/>
                <w:szCs w:val="20"/>
              </w:rPr>
              <w:t xml:space="preserve">Здоровы </w:t>
            </w:r>
          </w:p>
        </w:tc>
        <w:tc>
          <w:tcPr>
            <w:tcW w:type="dxa" w:w="673"/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  <w:sz w:val="20"/>
                <w:szCs w:val="20"/>
              </w:rPr>
              <w:t>Имеют 2 и более забол.</w:t>
            </w:r>
          </w:p>
        </w:tc>
        <w:tc>
          <w:tcPr>
            <w:tcW w:type="dxa" w:w="2804"/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  <w:sz w:val="20"/>
                <w:szCs w:val="20"/>
              </w:rPr>
              <w:t>Группа здоровья</w:t>
            </w:r>
          </w:p>
        </w:tc>
        <w:tc>
          <w:tcPr>
            <w:tcW w:type="dxa" w:w="3937"/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 w:eastAsia="Calibri"/>
                <w:sz w:val="20"/>
                <w:szCs w:val="20"/>
              </w:rPr>
              <w:t>Физкультурная группа</w:t>
            </w:r>
          </w:p>
        </w:tc>
      </w:tr>
      <w:tr>
        <w:trPr>
          <w:trHeight w:hRule="atLeast" w:val="525"/>
          <w:cantSplit w:val="false"/>
        </w:trPr>
        <w:tc>
          <w:tcPr>
            <w:tcW w:type="dxa" w:w="412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cs="Times New Roman" w:eastAsia="Calibri"/>
                <w:sz w:val="20"/>
                <w:szCs w:val="20"/>
              </w:rPr>
            </w:r>
          </w:p>
        </w:tc>
        <w:tc>
          <w:tcPr>
            <w:tcW w:type="dxa" w:w="730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cs="Times New Roman" w:eastAsia="Calibri"/>
                <w:sz w:val="20"/>
                <w:szCs w:val="20"/>
              </w:rPr>
            </w:r>
          </w:p>
        </w:tc>
        <w:tc>
          <w:tcPr>
            <w:tcW w:type="dxa" w:w="1011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cs="Times New Roman" w:eastAsia="Calibri"/>
                <w:sz w:val="20"/>
                <w:szCs w:val="20"/>
              </w:rPr>
            </w:r>
          </w:p>
        </w:tc>
        <w:tc>
          <w:tcPr>
            <w:tcW w:type="dxa" w:w="898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cs="Times New Roman" w:eastAsia="Calibri"/>
                <w:sz w:val="20"/>
                <w:szCs w:val="20"/>
              </w:rPr>
            </w:r>
          </w:p>
        </w:tc>
        <w:tc>
          <w:tcPr>
            <w:tcW w:type="dxa" w:w="673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rFonts w:cs="Times New Roman" w:eastAsia="Calibri"/>
                <w:sz w:val="20"/>
                <w:szCs w:val="20"/>
              </w:rPr>
            </w:r>
          </w:p>
        </w:tc>
        <w:tc>
          <w:tcPr>
            <w:tcW w:type="dxa" w:w="674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  <w:sz w:val="20"/>
                <w:szCs w:val="20"/>
              </w:rPr>
              <w:t>1 гр.</w:t>
            </w:r>
          </w:p>
        </w:tc>
        <w:tc>
          <w:tcPr>
            <w:tcW w:type="dxa" w:w="786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  <w:sz w:val="20"/>
                <w:szCs w:val="20"/>
              </w:rPr>
              <w:t>2 гр.</w:t>
            </w:r>
          </w:p>
        </w:tc>
        <w:tc>
          <w:tcPr>
            <w:tcW w:type="dxa" w:w="673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  <w:sz w:val="20"/>
                <w:szCs w:val="20"/>
              </w:rPr>
              <w:t>3 гр.</w:t>
            </w:r>
          </w:p>
        </w:tc>
        <w:tc>
          <w:tcPr>
            <w:tcW w:type="dxa" w:w="669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  <w:sz w:val="20"/>
                <w:szCs w:val="20"/>
              </w:rPr>
              <w:t>4,5 гр.</w:t>
            </w:r>
          </w:p>
        </w:tc>
        <w:tc>
          <w:tcPr>
            <w:tcW w:type="dxa" w:w="679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  <w:sz w:val="20"/>
                <w:szCs w:val="20"/>
              </w:rPr>
              <w:t>основная</w:t>
            </w:r>
          </w:p>
        </w:tc>
        <w:tc>
          <w:tcPr>
            <w:tcW w:type="dxa" w:w="562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  <w:sz w:val="20"/>
                <w:szCs w:val="20"/>
              </w:rPr>
              <w:t>Подготовит.</w:t>
            </w:r>
          </w:p>
        </w:tc>
        <w:tc>
          <w:tcPr>
            <w:tcW w:type="dxa" w:w="1504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  <w:sz w:val="20"/>
                <w:szCs w:val="20"/>
              </w:rPr>
              <w:t>Специальн.</w:t>
            </w:r>
          </w:p>
        </w:tc>
        <w:tc>
          <w:tcPr>
            <w:tcW w:type="dxa" w:w="1194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  <w:sz w:val="20"/>
                <w:szCs w:val="20"/>
              </w:rPr>
              <w:t xml:space="preserve">Освобождение </w:t>
            </w:r>
          </w:p>
        </w:tc>
      </w:tr>
      <w:tr>
        <w:trPr>
          <w:trHeight w:hRule="atLeast" w:val="390"/>
          <w:cantSplit w:val="false"/>
        </w:trPr>
        <w:tc>
          <w:tcPr>
            <w:tcW w:type="dxa" w:w="412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</w:rPr>
              <w:t>1</w:t>
            </w:r>
          </w:p>
        </w:tc>
        <w:tc>
          <w:tcPr>
            <w:tcW w:type="dxa" w:w="730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</w:rPr>
              <w:t>Инская СОШ</w:t>
            </w:r>
          </w:p>
        </w:tc>
        <w:tc>
          <w:tcPr>
            <w:tcW w:type="dxa" w:w="1011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</w:rPr>
              <w:t>55</w:t>
            </w:r>
          </w:p>
        </w:tc>
        <w:tc>
          <w:tcPr>
            <w:tcW w:type="dxa" w:w="898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</w:rPr>
              <w:t>12</w:t>
            </w:r>
          </w:p>
        </w:tc>
        <w:tc>
          <w:tcPr>
            <w:tcW w:type="dxa" w:w="673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</w:rPr>
              <w:t>29</w:t>
            </w:r>
          </w:p>
        </w:tc>
        <w:tc>
          <w:tcPr>
            <w:tcW w:type="dxa" w:w="674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</w:rPr>
              <w:t>10</w:t>
            </w:r>
          </w:p>
        </w:tc>
        <w:tc>
          <w:tcPr>
            <w:tcW w:type="dxa" w:w="786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</w:rPr>
              <w:t>42</w:t>
            </w:r>
          </w:p>
        </w:tc>
        <w:tc>
          <w:tcPr>
            <w:tcW w:type="dxa" w:w="673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</w:rPr>
              <w:t>3</w:t>
            </w:r>
          </w:p>
        </w:tc>
        <w:tc>
          <w:tcPr>
            <w:tcW w:type="dxa" w:w="669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0</w:t>
            </w:r>
          </w:p>
        </w:tc>
        <w:tc>
          <w:tcPr>
            <w:tcW w:type="dxa" w:w="679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</w:rPr>
              <w:t>50</w:t>
            </w:r>
          </w:p>
        </w:tc>
        <w:tc>
          <w:tcPr>
            <w:tcW w:type="dxa" w:w="562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</w:rPr>
              <w:t>5</w:t>
            </w:r>
          </w:p>
        </w:tc>
        <w:tc>
          <w:tcPr>
            <w:tcW w:type="dxa" w:w="1504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0</w:t>
            </w:r>
          </w:p>
        </w:tc>
        <w:tc>
          <w:tcPr>
            <w:tcW w:type="dxa" w:w="1194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 w:eastAsia="Calibri"/>
              </w:rPr>
            </w:r>
          </w:p>
        </w:tc>
      </w:tr>
    </w:tbl>
    <w:p>
      <w:pPr>
        <w:pStyle w:val="style0"/>
        <w:spacing w:after="0" w:before="0"/>
      </w:pPr>
      <w:r>
        <w:rPr>
          <w:rFonts w:ascii="Times New Roman" w:cs="Times New Roman" w:hAnsi="Times New Roman"/>
          <w:b/>
          <w:color w:val="FF0000"/>
          <w:sz w:val="24"/>
          <w:szCs w:val="24"/>
        </w:rPr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В школе нет медицинского кабинета, но было налажено тесное сотрудничество с ФАПом фельдшер постоянно осуществлял контроль за состоянием здоровья детей, проводил профосмотры ,       постоянно  велась   профилактическая   работа.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В школе систематически  уделяется должное внимание созданию безопасных условий для организации учебно-воспитательного процесса.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Ежегодно на начало учебного года проведится  косметический ремонт,  по мере возможности утепляем школу, но за 45 лет в школе не было ни одного капитального ремонта, температура в зимнее время в коридоре, спортивном зале, столовой ниже положенной нормы.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Задачи на 2014 – 2015 учебный год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Анализируя работу педагогического коллектива за 2013 – 2014 учебный год необходимо отметить, что итоги года свидетельствуют о стабильности в преподавании большинства предметов, это доказано  результатами контрольных работ  за  год  в 1-8,10 классах, и сдачей выпускниками 9, 11 классов государственной аттестацией. Коллектив школы добился ликвидации пропусков без уважительных причин. У нас нет обучающихся состоящих на учете в комиссии по делам несовершеннолетних. Все обучающиеся охвачены внеурочной деятельностью. Но при этом,  по- прежнему есть проблемы, над решением которых предстоит работать в 2014 -2015 учебном году.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Исходя из вышеизложенного,  педагогический коллектив ставит следующие задачи в 2014 -2015 учебном году:</w:t>
      </w:r>
    </w:p>
    <w:p>
      <w:pPr>
        <w:pStyle w:val="style21"/>
        <w:numPr>
          <w:ilvl w:val="0"/>
          <w:numId w:val="5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Продолжить работу над методической темой «Модернизация образовательной системы школы в соответствии с требованиями ФГОС».</w:t>
      </w:r>
    </w:p>
    <w:p>
      <w:pPr>
        <w:pStyle w:val="style21"/>
        <w:numPr>
          <w:ilvl w:val="0"/>
          <w:numId w:val="5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Продолжить работу с обучающимися над формированием универсальных умений и навыков, как основного инструмента образовательной деятельности.</w:t>
      </w:r>
    </w:p>
    <w:p>
      <w:pPr>
        <w:pStyle w:val="style21"/>
        <w:numPr>
          <w:ilvl w:val="0"/>
          <w:numId w:val="5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Совершенствовать работу по подготовке учащихся к ЕГЭ и ГИА.</w:t>
      </w:r>
    </w:p>
    <w:p>
      <w:pPr>
        <w:pStyle w:val="style21"/>
        <w:numPr>
          <w:ilvl w:val="0"/>
          <w:numId w:val="5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Работать над формированием у обучающихся:                                                                                                            - гражданской ответственности;                                                                                                                                     - понимания значимости здоровья для собственного самоутверждения;                                                                              - социальной  ответственности, толерантности, чувства уважения   к человеку, готовность защищать честь и достоинство свое и других людей.</w:t>
      </w:r>
    </w:p>
    <w:p>
      <w:pPr>
        <w:pStyle w:val="style21"/>
        <w:numPr>
          <w:ilvl w:val="0"/>
          <w:numId w:val="5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Создать систему целенаправленной воспитательной работы с родителями для адекватного и полезного взаимодействия школы и семьи.</w:t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List Paragraph"/>
    <w:basedOn w:val="style0"/>
    <w:next w:val="style21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2014-09-25T13:31:00.00Z</dcterms:created>
  <dc:creator>user</dc:creator>
  <cp:lastModifiedBy>Маргарита</cp:lastModifiedBy>
  <cp:lastPrinted>2014-10-09T05:19:00.00Z</cp:lastPrinted>
  <dcterms:modified xsi:type="dcterms:W3CDTF">2014-10-10T03:28:00.00Z</dcterms:modified>
  <cp:revision>17</cp:revision>
</cp:coreProperties>
</file>